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B02C38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0D3BF3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</w:p>
          <w:p w:rsidR="00B72CF7" w:rsidRPr="006713D2" w:rsidRDefault="000D3BF3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0D3BF3" w:rsidP="000D3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0D3BF3" w:rsidRPr="006713D2" w:rsidRDefault="000D3BF3" w:rsidP="000D3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СЕССИИ</w:t>
            </w:r>
          </w:p>
        </w:tc>
        <w:tc>
          <w:tcPr>
            <w:tcW w:w="4536" w:type="dxa"/>
            <w:gridSpan w:val="2"/>
          </w:tcPr>
          <w:p w:rsidR="000D3BF3" w:rsidRDefault="000D3BF3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2576DE" w:rsidRDefault="000D3BF3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0D3BF3" w:rsidRPr="006713D2" w:rsidRDefault="000D3BF3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0D3BF3" w:rsidP="000D3BF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  <w:p w:rsidR="000D3BF3" w:rsidRPr="006713D2" w:rsidRDefault="000D3BF3" w:rsidP="000D3BF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2576DE" w:rsidRPr="006713D2" w:rsidRDefault="000D3BF3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0D3BF3" w:rsidP="000D3BF3">
            <w:pPr>
              <w:tabs>
                <w:tab w:val="left" w:pos="7050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 04 сентября </w:t>
            </w:r>
            <w:r w:rsidR="00F152B0">
              <w:rPr>
                <w:b/>
                <w:snapToGrid w:val="0"/>
                <w:sz w:val="28"/>
                <w:szCs w:val="28"/>
              </w:rPr>
              <w:t>2020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№ 1-4</w:t>
            </w:r>
          </w:p>
          <w:p w:rsidR="00671486" w:rsidRPr="008847CC" w:rsidRDefault="00671486" w:rsidP="000D3BF3">
            <w:pPr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B02C38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>бразования «Ленский район» от 23</w:t>
            </w:r>
            <w:r w:rsidRPr="00442ABC">
              <w:rPr>
                <w:b/>
                <w:sz w:val="28"/>
                <w:szCs w:val="24"/>
              </w:rPr>
              <w:t>.12.201</w:t>
            </w:r>
            <w:r w:rsidR="00F152B0">
              <w:rPr>
                <w:b/>
                <w:sz w:val="28"/>
                <w:szCs w:val="24"/>
              </w:rPr>
              <w:t>9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F152B0">
              <w:rPr>
                <w:b/>
                <w:sz w:val="28"/>
                <w:szCs w:val="24"/>
              </w:rPr>
              <w:t xml:space="preserve"> 3-12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 w:rsidR="00F152B0">
              <w:rPr>
                <w:b/>
                <w:sz w:val="28"/>
                <w:szCs w:val="24"/>
              </w:rPr>
              <w:t>разования «Ленский район» на 2020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F152B0">
              <w:rPr>
                <w:b/>
                <w:sz w:val="28"/>
                <w:szCs w:val="24"/>
              </w:rPr>
              <w:t xml:space="preserve"> и на плановый период 2021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F152B0">
              <w:rPr>
                <w:b/>
                <w:sz w:val="28"/>
                <w:szCs w:val="24"/>
              </w:rPr>
              <w:t>22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0D3BF3" w:rsidRDefault="001738E8" w:rsidP="000D3BF3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Pr="006713D2" w:rsidRDefault="00664F4F" w:rsidP="001250E8">
      <w:pPr>
        <w:suppressAutoHyphens/>
        <w:spacing w:line="360" w:lineRule="auto"/>
        <w:ind w:firstLine="1276"/>
        <w:jc w:val="center"/>
        <w:rPr>
          <w:sz w:val="28"/>
          <w:szCs w:val="28"/>
        </w:rPr>
      </w:pPr>
      <w:proofErr w:type="gramStart"/>
      <w:r w:rsidRPr="006713D2">
        <w:rPr>
          <w:sz w:val="28"/>
          <w:szCs w:val="28"/>
        </w:rPr>
        <w:t>Р</w:t>
      </w:r>
      <w:proofErr w:type="gramEnd"/>
      <w:r w:rsidR="000D3BF3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Е</w:t>
      </w:r>
      <w:r w:rsidR="000D3BF3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Ш</w:t>
      </w:r>
      <w:r w:rsidR="000D3BF3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И</w:t>
      </w:r>
      <w:r w:rsidR="000D3BF3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Л:</w:t>
      </w:r>
    </w:p>
    <w:p w:rsidR="001738E8" w:rsidRPr="00117E51" w:rsidRDefault="001738E8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D3BF3">
        <w:rPr>
          <w:sz w:val="28"/>
        </w:rPr>
        <w:t>в р</w:t>
      </w:r>
      <w:r w:rsidRPr="00442ABC">
        <w:rPr>
          <w:sz w:val="28"/>
        </w:rPr>
        <w:t xml:space="preserve">ешение Районного Совета </w:t>
      </w:r>
      <w:r w:rsidR="000D3BF3">
        <w:rPr>
          <w:sz w:val="28"/>
        </w:rPr>
        <w:t xml:space="preserve">депутатов </w:t>
      </w:r>
      <w:r w:rsidRPr="00442ABC">
        <w:rPr>
          <w:sz w:val="28"/>
        </w:rPr>
        <w:t xml:space="preserve">от </w:t>
      </w:r>
      <w:r w:rsidR="00F152B0">
        <w:rPr>
          <w:sz w:val="28"/>
        </w:rPr>
        <w:t>23</w:t>
      </w:r>
      <w:r w:rsidRPr="00442ABC">
        <w:rPr>
          <w:sz w:val="28"/>
        </w:rPr>
        <w:t xml:space="preserve"> декабря 201</w:t>
      </w:r>
      <w:r w:rsidR="00F152B0">
        <w:rPr>
          <w:sz w:val="28"/>
        </w:rPr>
        <w:t>9</w:t>
      </w:r>
      <w:r w:rsidRPr="00442ABC">
        <w:rPr>
          <w:sz w:val="28"/>
        </w:rPr>
        <w:t xml:space="preserve"> года № 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F152B0">
        <w:rPr>
          <w:sz w:val="28"/>
        </w:rPr>
        <w:t xml:space="preserve">12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20</w:t>
      </w:r>
      <w:r w:rsidR="00DB4A4E">
        <w:rPr>
          <w:sz w:val="28"/>
          <w:szCs w:val="24"/>
        </w:rPr>
        <w:t xml:space="preserve"> год и на плановый период 202</w:t>
      </w:r>
      <w:r w:rsidR="00F152B0">
        <w:rPr>
          <w:sz w:val="28"/>
          <w:szCs w:val="24"/>
        </w:rPr>
        <w:t>1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F152B0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246AB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цифры «</w:t>
      </w:r>
      <w:r w:rsidR="00136AFB">
        <w:rPr>
          <w:sz w:val="28"/>
          <w:szCs w:val="28"/>
        </w:rPr>
        <w:t>3 402 139 429,21</w:t>
      </w:r>
      <w:r w:rsidR="00DB4A4E">
        <w:rPr>
          <w:sz w:val="28"/>
          <w:szCs w:val="28"/>
        </w:rPr>
        <w:t>» заменить цифрами «</w:t>
      </w:r>
      <w:r w:rsidR="00CC57F1">
        <w:rPr>
          <w:sz w:val="28"/>
          <w:szCs w:val="28"/>
        </w:rPr>
        <w:t>3</w:t>
      </w:r>
      <w:r w:rsidR="00136AFB">
        <w:rPr>
          <w:sz w:val="28"/>
          <w:szCs w:val="28"/>
        </w:rPr>
        <w:t> 423 438 686,92</w:t>
      </w:r>
      <w:r>
        <w:rPr>
          <w:sz w:val="28"/>
          <w:szCs w:val="28"/>
        </w:rPr>
        <w:t>»,</w:t>
      </w:r>
      <w:r w:rsidR="00C1605A">
        <w:rPr>
          <w:sz w:val="28"/>
          <w:szCs w:val="28"/>
        </w:rPr>
        <w:t xml:space="preserve"> цифры «1 931 514 703,96» заменить цифрами «1 931 560 403,96», </w:t>
      </w:r>
      <w:r w:rsidR="00BB74BE">
        <w:rPr>
          <w:sz w:val="28"/>
          <w:szCs w:val="28"/>
        </w:rPr>
        <w:t>цифры «</w:t>
      </w:r>
      <w:r w:rsidR="00C1605A">
        <w:rPr>
          <w:sz w:val="28"/>
          <w:szCs w:val="28"/>
        </w:rPr>
        <w:t>1 470 624 725,25</w:t>
      </w:r>
      <w:r w:rsidR="00BB74BE">
        <w:rPr>
          <w:sz w:val="28"/>
          <w:szCs w:val="28"/>
        </w:rPr>
        <w:t>» заменить цифрами «</w:t>
      </w:r>
      <w:r w:rsidR="00F152B0">
        <w:rPr>
          <w:sz w:val="28"/>
          <w:szCs w:val="28"/>
        </w:rPr>
        <w:t>1</w:t>
      </w:r>
      <w:r w:rsidR="00C1605A">
        <w:rPr>
          <w:sz w:val="28"/>
          <w:szCs w:val="28"/>
        </w:rPr>
        <w:t> 491 878 282,96</w:t>
      </w:r>
      <w:r w:rsidR="00F152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73A" w:rsidRDefault="001E173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0597E">
        <w:rPr>
          <w:sz w:val="28"/>
          <w:szCs w:val="28"/>
        </w:rPr>
        <w:lastRenderedPageBreak/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proofErr w:type="gramStart"/>
      <w:r w:rsidR="00DC07C0" w:rsidRPr="0010597E">
        <w:rPr>
          <w:sz w:val="28"/>
          <w:szCs w:val="28"/>
        </w:rPr>
        <w:t>1</w:t>
      </w:r>
      <w:proofErr w:type="gramEnd"/>
      <w:r w:rsidRPr="0010597E">
        <w:rPr>
          <w:sz w:val="28"/>
          <w:szCs w:val="28"/>
        </w:rPr>
        <w:t xml:space="preserve"> цифры «</w:t>
      </w:r>
      <w:r w:rsidR="00B530E9">
        <w:rPr>
          <w:sz w:val="28"/>
          <w:szCs w:val="28"/>
        </w:rPr>
        <w:t>4</w:t>
      </w:r>
      <w:r w:rsidR="003F60E4">
        <w:rPr>
          <w:sz w:val="28"/>
          <w:szCs w:val="28"/>
        </w:rPr>
        <w:t> 808 024 899,33</w:t>
      </w:r>
      <w:r w:rsidRPr="0010597E">
        <w:rPr>
          <w:sz w:val="28"/>
          <w:szCs w:val="28"/>
        </w:rPr>
        <w:t>» заменить цифрами «</w:t>
      </w:r>
      <w:r w:rsidR="00FE5332" w:rsidRPr="000A6B22">
        <w:rPr>
          <w:sz w:val="28"/>
          <w:szCs w:val="28"/>
        </w:rPr>
        <w:t>4</w:t>
      </w:r>
      <w:r w:rsidR="000A6B22" w:rsidRPr="000A6B22">
        <w:rPr>
          <w:sz w:val="28"/>
          <w:szCs w:val="28"/>
        </w:rPr>
        <w:t> 8</w:t>
      </w:r>
      <w:r w:rsidR="000A6B22">
        <w:rPr>
          <w:sz w:val="28"/>
          <w:szCs w:val="28"/>
        </w:rPr>
        <w:t>21 014 167,94</w:t>
      </w:r>
      <w:r w:rsidRPr="005E3D46">
        <w:rPr>
          <w:sz w:val="28"/>
          <w:szCs w:val="28"/>
        </w:rPr>
        <w:t>»</w:t>
      </w:r>
      <w:r w:rsidR="00C246AB">
        <w:rPr>
          <w:sz w:val="28"/>
          <w:szCs w:val="28"/>
        </w:rPr>
        <w:t xml:space="preserve">. </w:t>
      </w:r>
    </w:p>
    <w:p w:rsidR="00A55C12" w:rsidRPr="0010597E" w:rsidRDefault="00A55C12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1 цифры «1</w:t>
      </w:r>
      <w:r w:rsidR="003F60E4">
        <w:rPr>
          <w:sz w:val="28"/>
          <w:szCs w:val="28"/>
        </w:rPr>
        <w:t> 405 885 470,12</w:t>
      </w:r>
      <w:r>
        <w:rPr>
          <w:sz w:val="28"/>
          <w:szCs w:val="28"/>
        </w:rPr>
        <w:t>» заменить цифрами «</w:t>
      </w:r>
      <w:r w:rsidR="000A6B22">
        <w:rPr>
          <w:sz w:val="28"/>
          <w:szCs w:val="28"/>
        </w:rPr>
        <w:t>1 397 575 481,02</w:t>
      </w:r>
      <w:r w:rsidR="00EE2CD9">
        <w:rPr>
          <w:sz w:val="28"/>
          <w:szCs w:val="28"/>
        </w:rPr>
        <w:t>».</w:t>
      </w:r>
    </w:p>
    <w:p w:rsidR="0025344E" w:rsidRDefault="003046EC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5344E">
        <w:rPr>
          <w:sz w:val="28"/>
          <w:szCs w:val="28"/>
        </w:rPr>
        <w:t xml:space="preserve">1.4. </w:t>
      </w:r>
      <w:r w:rsidR="0063734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637346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="00637346">
        <w:rPr>
          <w:sz w:val="28"/>
          <w:szCs w:val="28"/>
        </w:rPr>
        <w:t>6-11</w:t>
      </w:r>
      <w:r w:rsidR="00EE2C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E2CD9">
        <w:rPr>
          <w:sz w:val="28"/>
          <w:szCs w:val="28"/>
        </w:rPr>
        <w:t>15</w:t>
      </w:r>
      <w:r w:rsidR="00D85694">
        <w:rPr>
          <w:sz w:val="28"/>
          <w:szCs w:val="28"/>
        </w:rPr>
        <w:t>,16</w:t>
      </w:r>
      <w:r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 w:rsidR="003F60E4">
        <w:rPr>
          <w:sz w:val="28"/>
          <w:szCs w:val="28"/>
        </w:rPr>
        <w:t>9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3046EC" w:rsidRDefault="003046EC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1.1.5. приложение 13 изложить в новой редакции и считать приложением 10 к настоящему решению. 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F25939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0D3BF3" w:rsidRDefault="000D3BF3" w:rsidP="000D3BF3">
      <w:pPr>
        <w:tabs>
          <w:tab w:val="left" w:pos="1276"/>
          <w:tab w:val="left" w:pos="1701"/>
        </w:tabs>
        <w:suppressAutoHyphens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5"/>
        <w:gridCol w:w="4597"/>
      </w:tblGrid>
      <w:tr w:rsidR="00AB1942" w:rsidRPr="006713D2" w:rsidTr="00DC07C0">
        <w:trPr>
          <w:trHeight w:val="2317"/>
        </w:trPr>
        <w:tc>
          <w:tcPr>
            <w:tcW w:w="4595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0D3BF3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п</w:t>
            </w:r>
            <w:r w:rsidR="000A6B22">
              <w:rPr>
                <w:b/>
                <w:sz w:val="28"/>
                <w:szCs w:val="28"/>
              </w:rPr>
              <w:t>редседателя</w:t>
            </w:r>
          </w:p>
          <w:p w:rsidR="000F42AB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D3BF3" w:rsidRPr="006713D2" w:rsidRDefault="000D3BF3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B31CBA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97" w:type="dxa"/>
          </w:tcPr>
          <w:p w:rsidR="00DC07C0" w:rsidRDefault="00DC07C0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250E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D3BF3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0A6B22">
              <w:rPr>
                <w:rFonts w:ascii="Times New Roman" w:hAnsi="Times New Roman"/>
                <w:b/>
                <w:sz w:val="28"/>
                <w:szCs w:val="28"/>
              </w:rPr>
              <w:t xml:space="preserve">А. В. </w:t>
            </w:r>
            <w:proofErr w:type="spellStart"/>
            <w:r w:rsidR="000A6B22">
              <w:rPr>
                <w:rFonts w:ascii="Times New Roman" w:hAnsi="Times New Roman"/>
                <w:b/>
                <w:sz w:val="28"/>
                <w:szCs w:val="28"/>
              </w:rPr>
              <w:t>Чувашлев</w:t>
            </w:r>
            <w:proofErr w:type="spellEnd"/>
          </w:p>
          <w:p w:rsidR="000D3BF3" w:rsidRPr="000D3BF3" w:rsidRDefault="000D3BF3" w:rsidP="000D3BF3"/>
          <w:p w:rsidR="000D3BF3" w:rsidRPr="000D3BF3" w:rsidRDefault="000D3BF3" w:rsidP="000D3BF3"/>
          <w:p w:rsidR="009C4B87" w:rsidRPr="009C4B87" w:rsidRDefault="009C4B87" w:rsidP="001250E8">
            <w:pPr>
              <w:suppressAutoHyphens/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3046EC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0D3BF3">
              <w:rPr>
                <w:b/>
                <w:sz w:val="28"/>
                <w:szCs w:val="28"/>
              </w:rPr>
              <w:t xml:space="preserve">       </w:t>
            </w:r>
            <w:r w:rsidR="00B31CBA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B31CBA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  <w:bookmarkStart w:id="0" w:name="_GoBack"/>
      <w:bookmarkEnd w:id="0"/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30" w:rsidRDefault="00910330" w:rsidP="00D63C55">
      <w:r>
        <w:separator/>
      </w:r>
    </w:p>
  </w:endnote>
  <w:endnote w:type="continuationSeparator" w:id="0">
    <w:p w:rsidR="00910330" w:rsidRDefault="00910330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30" w:rsidRDefault="00910330" w:rsidP="00D63C55">
      <w:r>
        <w:separator/>
      </w:r>
    </w:p>
  </w:footnote>
  <w:footnote w:type="continuationSeparator" w:id="0">
    <w:p w:rsidR="00910330" w:rsidRDefault="00910330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4211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4211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3BF3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A3036"/>
    <w:rsid w:val="000A6B22"/>
    <w:rsid w:val="000B114F"/>
    <w:rsid w:val="000B1E32"/>
    <w:rsid w:val="000C597A"/>
    <w:rsid w:val="000D3BF3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5B71"/>
    <w:rsid w:val="00116899"/>
    <w:rsid w:val="00117E51"/>
    <w:rsid w:val="00120F86"/>
    <w:rsid w:val="00124AAD"/>
    <w:rsid w:val="001250E8"/>
    <w:rsid w:val="00136AFB"/>
    <w:rsid w:val="00145113"/>
    <w:rsid w:val="0015265F"/>
    <w:rsid w:val="00160B1A"/>
    <w:rsid w:val="00170874"/>
    <w:rsid w:val="00171BC7"/>
    <w:rsid w:val="001738E8"/>
    <w:rsid w:val="00173EF8"/>
    <w:rsid w:val="00186211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046EC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3D2879"/>
    <w:rsid w:val="003E4142"/>
    <w:rsid w:val="003F60E4"/>
    <w:rsid w:val="004007E0"/>
    <w:rsid w:val="00400EC7"/>
    <w:rsid w:val="00410689"/>
    <w:rsid w:val="00416E46"/>
    <w:rsid w:val="00417DD5"/>
    <w:rsid w:val="004211AA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6A54"/>
    <w:rsid w:val="004B3F7B"/>
    <w:rsid w:val="004B5994"/>
    <w:rsid w:val="004B5F5A"/>
    <w:rsid w:val="004B655D"/>
    <w:rsid w:val="004D4608"/>
    <w:rsid w:val="004D7B11"/>
    <w:rsid w:val="004F291A"/>
    <w:rsid w:val="004F2F8A"/>
    <w:rsid w:val="00501E72"/>
    <w:rsid w:val="00507EA7"/>
    <w:rsid w:val="005155CC"/>
    <w:rsid w:val="00516541"/>
    <w:rsid w:val="00526C94"/>
    <w:rsid w:val="0053659B"/>
    <w:rsid w:val="00542556"/>
    <w:rsid w:val="005525A8"/>
    <w:rsid w:val="00553157"/>
    <w:rsid w:val="0055405C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3160"/>
    <w:rsid w:val="006E32F9"/>
    <w:rsid w:val="006E4A10"/>
    <w:rsid w:val="006F6A42"/>
    <w:rsid w:val="00710986"/>
    <w:rsid w:val="007276CA"/>
    <w:rsid w:val="00740B71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6DAE"/>
    <w:rsid w:val="007E01E2"/>
    <w:rsid w:val="007E095A"/>
    <w:rsid w:val="007E1437"/>
    <w:rsid w:val="007E160E"/>
    <w:rsid w:val="007E4046"/>
    <w:rsid w:val="007E558A"/>
    <w:rsid w:val="007F1370"/>
    <w:rsid w:val="008001D8"/>
    <w:rsid w:val="0080403D"/>
    <w:rsid w:val="00805F0F"/>
    <w:rsid w:val="00812D32"/>
    <w:rsid w:val="00820FB9"/>
    <w:rsid w:val="008226B0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E14DF"/>
    <w:rsid w:val="008E3514"/>
    <w:rsid w:val="008E3747"/>
    <w:rsid w:val="008E3BA7"/>
    <w:rsid w:val="008E5F8D"/>
    <w:rsid w:val="008F1368"/>
    <w:rsid w:val="008F56F4"/>
    <w:rsid w:val="009079A5"/>
    <w:rsid w:val="00910220"/>
    <w:rsid w:val="00910330"/>
    <w:rsid w:val="009445EB"/>
    <w:rsid w:val="00953663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4AF1"/>
    <w:rsid w:val="00A55C12"/>
    <w:rsid w:val="00A65A44"/>
    <w:rsid w:val="00A7643F"/>
    <w:rsid w:val="00A8488C"/>
    <w:rsid w:val="00A84E6F"/>
    <w:rsid w:val="00AA20EE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3136"/>
    <w:rsid w:val="00C246AB"/>
    <w:rsid w:val="00C349B4"/>
    <w:rsid w:val="00C35B68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C57F1"/>
    <w:rsid w:val="00CE266A"/>
    <w:rsid w:val="00CE467B"/>
    <w:rsid w:val="00CF2FEC"/>
    <w:rsid w:val="00CF6CA4"/>
    <w:rsid w:val="00CF7F63"/>
    <w:rsid w:val="00D1370F"/>
    <w:rsid w:val="00D16F21"/>
    <w:rsid w:val="00D26124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E0132"/>
    <w:rsid w:val="00DF5E51"/>
    <w:rsid w:val="00DF7D41"/>
    <w:rsid w:val="00E011FB"/>
    <w:rsid w:val="00E056EC"/>
    <w:rsid w:val="00E1131F"/>
    <w:rsid w:val="00E12D24"/>
    <w:rsid w:val="00E20FC7"/>
    <w:rsid w:val="00E25A18"/>
    <w:rsid w:val="00E32466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7EBF"/>
    <w:rsid w:val="00F152B0"/>
    <w:rsid w:val="00F156E0"/>
    <w:rsid w:val="00F25939"/>
    <w:rsid w:val="00F27A39"/>
    <w:rsid w:val="00F305A8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57B5-6E69-4B4A-AEDC-9DF5317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30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8</cp:revision>
  <cp:lastPrinted>2020-09-03T06:47:00Z</cp:lastPrinted>
  <dcterms:created xsi:type="dcterms:W3CDTF">2020-08-27T02:56:00Z</dcterms:created>
  <dcterms:modified xsi:type="dcterms:W3CDTF">2020-09-04T07:45:00Z</dcterms:modified>
</cp:coreProperties>
</file>